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4AC0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  <w:bookmarkStart w:id="0" w:name="_GoBack"/>
      <w:bookmarkEnd w:id="0"/>
    </w:p>
    <w:p w14:paraId="17D09C47" w14:textId="511B6CAB" w:rsidR="00247ECD" w:rsidRDefault="00DE67C1" w:rsidP="00DE67C1">
      <w:pPr>
        <w:tabs>
          <w:tab w:val="left" w:pos="493"/>
        </w:tabs>
        <w:ind w:left="-567" w:right="418"/>
        <w:jc w:val="both"/>
        <w:rPr>
          <w:rFonts w:asciiTheme="majorHAnsi" w:hAnsiTheme="majorHAnsi"/>
          <w:szCs w:val="36"/>
        </w:rPr>
      </w:pPr>
      <w:r>
        <w:rPr>
          <w:rFonts w:asciiTheme="majorHAnsi" w:hAnsiTheme="majorHAnsi"/>
          <w:noProof/>
          <w:szCs w:val="36"/>
          <w:lang w:val="es-ES"/>
        </w:rPr>
        <w:drawing>
          <wp:inline distT="0" distB="0" distL="0" distR="0" wp14:anchorId="1A67D434" wp14:editId="6CB32730">
            <wp:extent cx="4239517" cy="3313522"/>
            <wp:effectExtent l="25400" t="25400" r="27940" b="13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5-04 a la(s) 02.46.08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065" cy="33155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36"/>
        </w:rPr>
        <w:t xml:space="preserve">    </w:t>
      </w:r>
      <w:r w:rsidRPr="00DE67C1">
        <w:rPr>
          <w:rFonts w:asciiTheme="majorHAnsi" w:hAnsiTheme="majorHAnsi"/>
          <w:b/>
          <w:szCs w:val="36"/>
        </w:rPr>
        <w:t>Tabla 1</w:t>
      </w:r>
    </w:p>
    <w:p w14:paraId="432F0D01" w14:textId="77777777" w:rsidR="00DE67C1" w:rsidRDefault="00DE67C1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363CA1DB" w14:textId="611F0DE6" w:rsidR="00DE67C1" w:rsidRPr="00DE67C1" w:rsidRDefault="00DE67C1" w:rsidP="00DE67C1">
      <w:pPr>
        <w:tabs>
          <w:tab w:val="left" w:pos="493"/>
        </w:tabs>
        <w:ind w:left="-851"/>
        <w:jc w:val="both"/>
        <w:rPr>
          <w:rFonts w:asciiTheme="majorHAnsi" w:hAnsiTheme="majorHAnsi"/>
          <w:b/>
          <w:szCs w:val="36"/>
        </w:rPr>
      </w:pPr>
      <w:r w:rsidRPr="00DE67C1">
        <w:rPr>
          <w:rFonts w:asciiTheme="majorHAnsi" w:hAnsiTheme="majorHAnsi"/>
          <w:b/>
          <w:szCs w:val="36"/>
        </w:rPr>
        <w:t>Características de los pacientes</w:t>
      </w:r>
    </w:p>
    <w:tbl>
      <w:tblPr>
        <w:tblStyle w:val="Tablaconcuadrcula"/>
        <w:tblW w:w="10562" w:type="dxa"/>
        <w:tblInd w:w="-743" w:type="dxa"/>
        <w:tblLook w:val="0420" w:firstRow="1" w:lastRow="0" w:firstColumn="0" w:lastColumn="0" w:noHBand="0" w:noVBand="1"/>
      </w:tblPr>
      <w:tblGrid>
        <w:gridCol w:w="6243"/>
        <w:gridCol w:w="4319"/>
      </w:tblGrid>
      <w:tr w:rsidR="00E6680A" w:rsidRPr="00DE67C1" w14:paraId="4B0F2635" w14:textId="77777777" w:rsidTr="00DE67C1">
        <w:trPr>
          <w:trHeight w:val="235"/>
        </w:trPr>
        <w:tc>
          <w:tcPr>
            <w:tcW w:w="6243" w:type="dxa"/>
            <w:hideMark/>
          </w:tcPr>
          <w:p w14:paraId="17765B7C" w14:textId="77777777" w:rsidR="00E6680A" w:rsidRPr="00DE67C1" w:rsidRDefault="00E6680A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bCs/>
                <w:sz w:val="20"/>
                <w:szCs w:val="22"/>
                <w:lang w:val="es-ES"/>
              </w:rPr>
              <w:t>Edad (años)</w:t>
            </w:r>
          </w:p>
        </w:tc>
        <w:tc>
          <w:tcPr>
            <w:tcW w:w="4319" w:type="dxa"/>
            <w:hideMark/>
          </w:tcPr>
          <w:p w14:paraId="32A06F6D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bCs/>
                <w:sz w:val="20"/>
                <w:szCs w:val="22"/>
                <w:lang w:val="es-ES"/>
              </w:rPr>
              <w:t>68,4 (± 13,6)</w:t>
            </w:r>
          </w:p>
        </w:tc>
      </w:tr>
      <w:tr w:rsidR="00E6680A" w:rsidRPr="00DE67C1" w14:paraId="0411E5AF" w14:textId="77777777" w:rsidTr="00DE67C1">
        <w:trPr>
          <w:trHeight w:val="240"/>
        </w:trPr>
        <w:tc>
          <w:tcPr>
            <w:tcW w:w="6243" w:type="dxa"/>
            <w:hideMark/>
          </w:tcPr>
          <w:p w14:paraId="1F3991E7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Hombres/mujeres (%)</w:t>
            </w:r>
          </w:p>
        </w:tc>
        <w:tc>
          <w:tcPr>
            <w:tcW w:w="4319" w:type="dxa"/>
            <w:hideMark/>
          </w:tcPr>
          <w:p w14:paraId="7E9F0BCD" w14:textId="6D71F193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64 / 36</w:t>
            </w:r>
          </w:p>
        </w:tc>
      </w:tr>
      <w:tr w:rsidR="00E6680A" w:rsidRPr="00DE67C1" w14:paraId="74A82320" w14:textId="77777777" w:rsidTr="00DE67C1">
        <w:trPr>
          <w:trHeight w:val="242"/>
        </w:trPr>
        <w:tc>
          <w:tcPr>
            <w:tcW w:w="6243" w:type="dxa"/>
            <w:hideMark/>
          </w:tcPr>
          <w:p w14:paraId="3DA50FBD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HTA (%)</w:t>
            </w:r>
          </w:p>
        </w:tc>
        <w:tc>
          <w:tcPr>
            <w:tcW w:w="4319" w:type="dxa"/>
            <w:hideMark/>
          </w:tcPr>
          <w:p w14:paraId="0059A31A" w14:textId="474D7DFA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80</w:t>
            </w:r>
          </w:p>
        </w:tc>
      </w:tr>
      <w:tr w:rsidR="00E6680A" w:rsidRPr="00DE67C1" w14:paraId="53978C02" w14:textId="77777777" w:rsidTr="00DE67C1">
        <w:trPr>
          <w:trHeight w:val="236"/>
        </w:trPr>
        <w:tc>
          <w:tcPr>
            <w:tcW w:w="6243" w:type="dxa"/>
            <w:hideMark/>
          </w:tcPr>
          <w:p w14:paraId="71587135" w14:textId="099BDB0D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DM (%)</w:t>
            </w:r>
          </w:p>
        </w:tc>
        <w:tc>
          <w:tcPr>
            <w:tcW w:w="4319" w:type="dxa"/>
            <w:hideMark/>
          </w:tcPr>
          <w:p w14:paraId="68FBF337" w14:textId="20CB074A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36</w:t>
            </w:r>
          </w:p>
        </w:tc>
      </w:tr>
      <w:tr w:rsidR="00E6680A" w:rsidRPr="00DE67C1" w14:paraId="74ACE90D" w14:textId="77777777" w:rsidTr="00DE67C1">
        <w:trPr>
          <w:trHeight w:val="236"/>
        </w:trPr>
        <w:tc>
          <w:tcPr>
            <w:tcW w:w="6243" w:type="dxa"/>
          </w:tcPr>
          <w:p w14:paraId="66829A62" w14:textId="287597C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DLP (%)</w:t>
            </w:r>
          </w:p>
        </w:tc>
        <w:tc>
          <w:tcPr>
            <w:tcW w:w="4319" w:type="dxa"/>
          </w:tcPr>
          <w:p w14:paraId="3B698568" w14:textId="3B2F24B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53,3</w:t>
            </w:r>
          </w:p>
        </w:tc>
      </w:tr>
      <w:tr w:rsidR="00E6680A" w:rsidRPr="00DE67C1" w14:paraId="443A5D27" w14:textId="77777777" w:rsidTr="00DE67C1">
        <w:trPr>
          <w:trHeight w:val="242"/>
        </w:trPr>
        <w:tc>
          <w:tcPr>
            <w:tcW w:w="6243" w:type="dxa"/>
            <w:hideMark/>
          </w:tcPr>
          <w:p w14:paraId="77E3075C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Cardiopatía isquémica (%)</w:t>
            </w:r>
          </w:p>
        </w:tc>
        <w:tc>
          <w:tcPr>
            <w:tcW w:w="4319" w:type="dxa"/>
            <w:hideMark/>
          </w:tcPr>
          <w:p w14:paraId="5B9E3E12" w14:textId="1AA053A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20</w:t>
            </w:r>
          </w:p>
        </w:tc>
      </w:tr>
      <w:tr w:rsidR="00E6680A" w:rsidRPr="00DE67C1" w14:paraId="1391E332" w14:textId="77777777" w:rsidTr="00DE67C1">
        <w:trPr>
          <w:trHeight w:val="246"/>
        </w:trPr>
        <w:tc>
          <w:tcPr>
            <w:tcW w:w="6243" w:type="dxa"/>
            <w:hideMark/>
          </w:tcPr>
          <w:p w14:paraId="0E14697A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ACV (%)</w:t>
            </w:r>
          </w:p>
        </w:tc>
        <w:tc>
          <w:tcPr>
            <w:tcW w:w="4319" w:type="dxa"/>
            <w:hideMark/>
          </w:tcPr>
          <w:p w14:paraId="401F2BA9" w14:textId="13B5F8F9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9,3</w:t>
            </w:r>
          </w:p>
        </w:tc>
      </w:tr>
      <w:tr w:rsidR="00E6680A" w:rsidRPr="00DE67C1" w14:paraId="1BFA3AED" w14:textId="77777777" w:rsidTr="00DE67C1">
        <w:trPr>
          <w:trHeight w:val="246"/>
        </w:trPr>
        <w:tc>
          <w:tcPr>
            <w:tcW w:w="6243" w:type="dxa"/>
          </w:tcPr>
          <w:p w14:paraId="3783C5FA" w14:textId="33662C0C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  <w:lang w:val="es-ES"/>
              </w:rPr>
            </w:pPr>
            <w:proofErr w:type="spellStart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Arteriopatía</w:t>
            </w:r>
            <w:proofErr w:type="spellEnd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 xml:space="preserve"> (%)</w:t>
            </w:r>
          </w:p>
        </w:tc>
        <w:tc>
          <w:tcPr>
            <w:tcW w:w="4319" w:type="dxa"/>
          </w:tcPr>
          <w:p w14:paraId="554EDDFD" w14:textId="71B49A2E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18,7</w:t>
            </w:r>
          </w:p>
        </w:tc>
      </w:tr>
      <w:tr w:rsidR="00E6680A" w:rsidRPr="00DE67C1" w14:paraId="0A3FD291" w14:textId="77777777" w:rsidTr="00DE67C1">
        <w:trPr>
          <w:trHeight w:val="240"/>
        </w:trPr>
        <w:tc>
          <w:tcPr>
            <w:tcW w:w="6243" w:type="dxa"/>
            <w:hideMark/>
          </w:tcPr>
          <w:p w14:paraId="5EC5ACFC" w14:textId="471D30FD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Tabaco (si/ ex )(%)</w:t>
            </w:r>
          </w:p>
        </w:tc>
        <w:tc>
          <w:tcPr>
            <w:tcW w:w="4319" w:type="dxa"/>
            <w:hideMark/>
          </w:tcPr>
          <w:p w14:paraId="608A25BF" w14:textId="45ED2D28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21,3/25,3</w:t>
            </w:r>
          </w:p>
        </w:tc>
      </w:tr>
      <w:tr w:rsidR="00E6680A" w:rsidRPr="00DE67C1" w14:paraId="36BECC7A" w14:textId="77777777" w:rsidTr="00DE67C1">
        <w:trPr>
          <w:trHeight w:val="244"/>
        </w:trPr>
        <w:tc>
          <w:tcPr>
            <w:tcW w:w="6243" w:type="dxa"/>
            <w:hideMark/>
          </w:tcPr>
          <w:p w14:paraId="4D7DC3FD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Diálisis (%)</w:t>
            </w:r>
          </w:p>
        </w:tc>
        <w:tc>
          <w:tcPr>
            <w:tcW w:w="4319" w:type="dxa"/>
            <w:hideMark/>
          </w:tcPr>
          <w:p w14:paraId="6CD4AD67" w14:textId="388BBE0A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54,7</w:t>
            </w:r>
          </w:p>
        </w:tc>
      </w:tr>
      <w:tr w:rsidR="00E6680A" w:rsidRPr="00DE67C1" w14:paraId="2DE1E2D3" w14:textId="77777777" w:rsidTr="00DE67C1">
        <w:trPr>
          <w:trHeight w:val="239"/>
        </w:trPr>
        <w:tc>
          <w:tcPr>
            <w:tcW w:w="6243" w:type="dxa"/>
            <w:hideMark/>
          </w:tcPr>
          <w:p w14:paraId="50B723B5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Tiempo en diálisis (días)</w:t>
            </w:r>
          </w:p>
        </w:tc>
        <w:tc>
          <w:tcPr>
            <w:tcW w:w="4319" w:type="dxa"/>
            <w:hideMark/>
          </w:tcPr>
          <w:p w14:paraId="1CE1CA39" w14:textId="5176AA2C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 xml:space="preserve">390 </w:t>
            </w:r>
            <w:r w:rsidRPr="00DE67C1">
              <w:rPr>
                <w:rFonts w:asciiTheme="majorHAnsi" w:hAnsiTheme="majorHAnsi"/>
                <w:bCs/>
                <w:sz w:val="20"/>
                <w:szCs w:val="22"/>
                <w:lang w:val="es-ES"/>
              </w:rPr>
              <w:t>(± 90,6)</w:t>
            </w:r>
          </w:p>
        </w:tc>
      </w:tr>
      <w:tr w:rsidR="00E6680A" w:rsidRPr="00DE67C1" w14:paraId="2A097BEA" w14:textId="77777777" w:rsidTr="00DE67C1">
        <w:trPr>
          <w:trHeight w:val="255"/>
        </w:trPr>
        <w:tc>
          <w:tcPr>
            <w:tcW w:w="6243" w:type="dxa"/>
            <w:hideMark/>
          </w:tcPr>
          <w:p w14:paraId="4DC793EA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Catéter tunelizado (%)</w:t>
            </w:r>
          </w:p>
        </w:tc>
        <w:tc>
          <w:tcPr>
            <w:tcW w:w="4319" w:type="dxa"/>
            <w:hideMark/>
          </w:tcPr>
          <w:p w14:paraId="7C825AFC" w14:textId="64064BB0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87,8</w:t>
            </w:r>
          </w:p>
        </w:tc>
      </w:tr>
      <w:tr w:rsidR="00E6680A" w:rsidRPr="00DE67C1" w14:paraId="50ADE948" w14:textId="77777777" w:rsidTr="00DE67C1">
        <w:trPr>
          <w:trHeight w:val="236"/>
        </w:trPr>
        <w:tc>
          <w:tcPr>
            <w:tcW w:w="6243" w:type="dxa"/>
            <w:hideMark/>
          </w:tcPr>
          <w:p w14:paraId="48E39593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Prediálisis</w:t>
            </w:r>
            <w:proofErr w:type="spellEnd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 xml:space="preserve"> (%)</w:t>
            </w:r>
          </w:p>
        </w:tc>
        <w:tc>
          <w:tcPr>
            <w:tcW w:w="4319" w:type="dxa"/>
            <w:hideMark/>
          </w:tcPr>
          <w:p w14:paraId="5DEE12E0" w14:textId="609298C5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>45,3</w:t>
            </w:r>
          </w:p>
        </w:tc>
      </w:tr>
      <w:tr w:rsidR="00E6680A" w:rsidRPr="00DE67C1" w14:paraId="08184298" w14:textId="77777777" w:rsidTr="00DE67C1">
        <w:trPr>
          <w:trHeight w:val="242"/>
        </w:trPr>
        <w:tc>
          <w:tcPr>
            <w:tcW w:w="6243" w:type="dxa"/>
            <w:hideMark/>
          </w:tcPr>
          <w:p w14:paraId="3ADB43D3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 xml:space="preserve">Tiempo en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prediálisis</w:t>
            </w:r>
            <w:proofErr w:type="spellEnd"/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 xml:space="preserve"> (días)</w:t>
            </w:r>
          </w:p>
        </w:tc>
        <w:tc>
          <w:tcPr>
            <w:tcW w:w="4319" w:type="dxa"/>
            <w:hideMark/>
          </w:tcPr>
          <w:p w14:paraId="08C5D93C" w14:textId="4AE3EF09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 xml:space="preserve">863,78 </w:t>
            </w:r>
            <w:r w:rsidRPr="00DE67C1">
              <w:rPr>
                <w:rFonts w:asciiTheme="majorHAnsi" w:hAnsiTheme="majorHAnsi"/>
                <w:bCs/>
                <w:sz w:val="20"/>
                <w:szCs w:val="22"/>
                <w:lang w:val="es-ES"/>
              </w:rPr>
              <w:t>(± 583,92)</w:t>
            </w:r>
          </w:p>
        </w:tc>
      </w:tr>
      <w:tr w:rsidR="00E6680A" w:rsidRPr="00DE67C1" w14:paraId="74BA3FA0" w14:textId="77777777" w:rsidTr="00DE67C1">
        <w:trPr>
          <w:trHeight w:val="236"/>
        </w:trPr>
        <w:tc>
          <w:tcPr>
            <w:tcW w:w="6243" w:type="dxa"/>
            <w:hideMark/>
          </w:tcPr>
          <w:p w14:paraId="25BF736C" w14:textId="77777777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CKD – EPI (ml/min)</w:t>
            </w:r>
          </w:p>
        </w:tc>
        <w:tc>
          <w:tcPr>
            <w:tcW w:w="4319" w:type="dxa"/>
            <w:hideMark/>
          </w:tcPr>
          <w:p w14:paraId="3CBBC489" w14:textId="41BC3CB6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 xml:space="preserve">11,74 </w:t>
            </w:r>
            <w:r w:rsidRPr="00DE67C1">
              <w:rPr>
                <w:rFonts w:asciiTheme="majorHAnsi" w:hAnsiTheme="majorHAnsi"/>
                <w:bCs/>
                <w:sz w:val="20"/>
                <w:szCs w:val="22"/>
                <w:lang w:val="es-ES"/>
              </w:rPr>
              <w:t>(± 3,41)</w:t>
            </w:r>
          </w:p>
        </w:tc>
      </w:tr>
      <w:tr w:rsidR="00E6680A" w:rsidRPr="00DE67C1" w14:paraId="432A0619" w14:textId="77777777" w:rsidTr="00DE67C1">
        <w:trPr>
          <w:trHeight w:val="92"/>
        </w:trPr>
        <w:tc>
          <w:tcPr>
            <w:tcW w:w="6243" w:type="dxa"/>
            <w:hideMark/>
          </w:tcPr>
          <w:p w14:paraId="2827E4BF" w14:textId="754E2CB5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  <w:lang w:val="es-ES"/>
              </w:rPr>
              <w:t>FAV previas (%)</w:t>
            </w:r>
          </w:p>
        </w:tc>
        <w:tc>
          <w:tcPr>
            <w:tcW w:w="4319" w:type="dxa"/>
            <w:hideMark/>
          </w:tcPr>
          <w:p w14:paraId="1D7F4489" w14:textId="72FBA4BD" w:rsidR="00E6680A" w:rsidRPr="00DE67C1" w:rsidRDefault="00E6680A" w:rsidP="00020D26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E67C1">
              <w:rPr>
                <w:rFonts w:asciiTheme="majorHAnsi" w:hAnsiTheme="majorHAnsi"/>
                <w:sz w:val="20"/>
                <w:szCs w:val="22"/>
              </w:rPr>
              <w:t xml:space="preserve">21,3 </w:t>
            </w:r>
          </w:p>
        </w:tc>
      </w:tr>
    </w:tbl>
    <w:p w14:paraId="7199D607" w14:textId="77777777" w:rsidR="00DE67C1" w:rsidRDefault="00DE67C1" w:rsidP="00DE67C1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286D069C" w14:textId="0CE49BA7" w:rsidR="00DE67C1" w:rsidRPr="00DE67C1" w:rsidRDefault="00DE67C1" w:rsidP="00DE67C1">
      <w:pPr>
        <w:tabs>
          <w:tab w:val="left" w:pos="493"/>
        </w:tabs>
        <w:ind w:left="-851"/>
        <w:jc w:val="both"/>
        <w:rPr>
          <w:rFonts w:asciiTheme="majorHAnsi" w:hAnsiTheme="majorHAnsi"/>
          <w:b/>
          <w:szCs w:val="36"/>
        </w:rPr>
      </w:pPr>
      <w:r w:rsidRPr="00DE67C1">
        <w:rPr>
          <w:rFonts w:asciiTheme="majorHAnsi" w:hAnsiTheme="majorHAnsi"/>
          <w:b/>
          <w:szCs w:val="36"/>
        </w:rPr>
        <w:t>Características de la consulta y resultados</w:t>
      </w:r>
    </w:p>
    <w:tbl>
      <w:tblPr>
        <w:tblStyle w:val="Tablaconcuadrcula"/>
        <w:tblW w:w="10557" w:type="dxa"/>
        <w:tblInd w:w="-743" w:type="dxa"/>
        <w:tblLook w:val="0420" w:firstRow="1" w:lastRow="0" w:firstColumn="0" w:lastColumn="0" w:noHBand="0" w:noVBand="1"/>
      </w:tblPr>
      <w:tblGrid>
        <w:gridCol w:w="6238"/>
        <w:gridCol w:w="4319"/>
      </w:tblGrid>
      <w:tr w:rsidR="00E6680A" w:rsidRPr="00DE67C1" w14:paraId="2EFBA9C8" w14:textId="77777777" w:rsidTr="001D7C6E">
        <w:trPr>
          <w:trHeight w:val="253"/>
        </w:trPr>
        <w:tc>
          <w:tcPr>
            <w:tcW w:w="6238" w:type="dxa"/>
            <w:hideMark/>
          </w:tcPr>
          <w:p w14:paraId="0CB2453A" w14:textId="277B1633" w:rsidR="00E6680A" w:rsidRPr="00DE67C1" w:rsidRDefault="00E6680A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Número de consultas</w:t>
            </w:r>
            <w:r w:rsidR="00050018"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 xml:space="preserve"> : primeras /revisiones</w:t>
            </w:r>
          </w:p>
        </w:tc>
        <w:tc>
          <w:tcPr>
            <w:tcW w:w="4319" w:type="dxa"/>
            <w:hideMark/>
          </w:tcPr>
          <w:p w14:paraId="2E1677B8" w14:textId="380F6434" w:rsidR="00E6680A" w:rsidRPr="00DE67C1" w:rsidRDefault="00050018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227 / 108</w:t>
            </w:r>
          </w:p>
        </w:tc>
      </w:tr>
      <w:tr w:rsidR="00E6680A" w:rsidRPr="00DE67C1" w14:paraId="53A4E454" w14:textId="77777777" w:rsidTr="001D7C6E">
        <w:trPr>
          <w:trHeight w:val="256"/>
        </w:trPr>
        <w:tc>
          <w:tcPr>
            <w:tcW w:w="6238" w:type="dxa"/>
            <w:hideMark/>
          </w:tcPr>
          <w:p w14:paraId="718AD9AE" w14:textId="46EB984A" w:rsidR="00E6680A" w:rsidRPr="00DE67C1" w:rsidRDefault="00496F31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Fístulas realizadas</w:t>
            </w:r>
          </w:p>
        </w:tc>
        <w:tc>
          <w:tcPr>
            <w:tcW w:w="4319" w:type="dxa"/>
            <w:hideMark/>
          </w:tcPr>
          <w:p w14:paraId="76CDE3B1" w14:textId="3C04364A" w:rsidR="00E6680A" w:rsidRPr="00DE67C1" w:rsidRDefault="00DC32B3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86</w:t>
            </w:r>
          </w:p>
        </w:tc>
      </w:tr>
      <w:tr w:rsidR="00E6680A" w:rsidRPr="00DE67C1" w14:paraId="75E31D07" w14:textId="77777777" w:rsidTr="001D7C6E">
        <w:trPr>
          <w:trHeight w:val="256"/>
        </w:trPr>
        <w:tc>
          <w:tcPr>
            <w:tcW w:w="6238" w:type="dxa"/>
          </w:tcPr>
          <w:p w14:paraId="77D83B0F" w14:textId="4E276ADB" w:rsidR="00E6680A" w:rsidRPr="00DE67C1" w:rsidRDefault="00496F31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Mapeo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prequirúrgico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para FAV</w:t>
            </w:r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(pacientes)</w:t>
            </w:r>
          </w:p>
        </w:tc>
        <w:tc>
          <w:tcPr>
            <w:tcW w:w="4319" w:type="dxa"/>
          </w:tcPr>
          <w:p w14:paraId="3D5EB8C4" w14:textId="6AD22BFB" w:rsidR="00E6680A" w:rsidRPr="00DE67C1" w:rsidRDefault="006E749E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74</w:t>
            </w:r>
          </w:p>
        </w:tc>
      </w:tr>
      <w:tr w:rsidR="00A46775" w:rsidRPr="00DE67C1" w14:paraId="2F90AE82" w14:textId="77777777" w:rsidTr="001D7C6E">
        <w:trPr>
          <w:trHeight w:val="256"/>
        </w:trPr>
        <w:tc>
          <w:tcPr>
            <w:tcW w:w="6238" w:type="dxa"/>
          </w:tcPr>
          <w:p w14:paraId="0D0BD16E" w14:textId="7384F13B" w:rsidR="00A46775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Diámetro cefálica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antebraquial</w:t>
            </w:r>
            <w:proofErr w:type="spellEnd"/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(mm)</w:t>
            </w:r>
          </w:p>
        </w:tc>
        <w:tc>
          <w:tcPr>
            <w:tcW w:w="4319" w:type="dxa"/>
          </w:tcPr>
          <w:p w14:paraId="196E17B8" w14:textId="6C035105" w:rsidR="00A46775" w:rsidRPr="00DE67C1" w:rsidRDefault="006E749E" w:rsidP="006E749E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 xml:space="preserve">2,4 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(± 0,48)</w:t>
            </w:r>
          </w:p>
        </w:tc>
      </w:tr>
      <w:tr w:rsidR="00A46775" w:rsidRPr="00DE67C1" w14:paraId="5AC38573" w14:textId="77777777" w:rsidTr="001D7C6E">
        <w:trPr>
          <w:trHeight w:val="256"/>
        </w:trPr>
        <w:tc>
          <w:tcPr>
            <w:tcW w:w="6238" w:type="dxa"/>
          </w:tcPr>
          <w:p w14:paraId="551595E3" w14:textId="055A47E6" w:rsidR="00A46775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Diámetro arteria radial</w:t>
            </w:r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(mm)</w:t>
            </w:r>
          </w:p>
        </w:tc>
        <w:tc>
          <w:tcPr>
            <w:tcW w:w="4319" w:type="dxa"/>
          </w:tcPr>
          <w:p w14:paraId="38241196" w14:textId="35ADD3D1" w:rsidR="00A46775" w:rsidRPr="00DE67C1" w:rsidRDefault="006E749E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2 (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± 0,32)</w:t>
            </w:r>
          </w:p>
        </w:tc>
      </w:tr>
      <w:tr w:rsidR="00A46775" w:rsidRPr="00DE67C1" w14:paraId="02137C8E" w14:textId="77777777" w:rsidTr="001D7C6E">
        <w:trPr>
          <w:trHeight w:val="256"/>
        </w:trPr>
        <w:tc>
          <w:tcPr>
            <w:tcW w:w="6238" w:type="dxa"/>
          </w:tcPr>
          <w:p w14:paraId="237D656A" w14:textId="05850074" w:rsidR="00A46775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PVS (cm/s)</w:t>
            </w:r>
          </w:p>
        </w:tc>
        <w:tc>
          <w:tcPr>
            <w:tcW w:w="4319" w:type="dxa"/>
          </w:tcPr>
          <w:p w14:paraId="1CA85D64" w14:textId="4D1F18E0" w:rsidR="00A46775" w:rsidRPr="00DE67C1" w:rsidRDefault="006E749E" w:rsidP="006E749E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73,5 (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± 41,2)</w:t>
            </w:r>
          </w:p>
        </w:tc>
      </w:tr>
      <w:tr w:rsidR="001D7C6E" w:rsidRPr="00DE67C1" w14:paraId="7B1737C1" w14:textId="77777777" w:rsidTr="001D7C6E">
        <w:trPr>
          <w:trHeight w:val="256"/>
        </w:trPr>
        <w:tc>
          <w:tcPr>
            <w:tcW w:w="6238" w:type="dxa"/>
          </w:tcPr>
          <w:p w14:paraId="512A09A3" w14:textId="4BB2007E" w:rsidR="001D7C6E" w:rsidRPr="00DE67C1" w:rsidRDefault="001D7C6E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Correlación con cirugía</w:t>
            </w:r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(%)</w:t>
            </w:r>
          </w:p>
        </w:tc>
        <w:tc>
          <w:tcPr>
            <w:tcW w:w="4319" w:type="dxa"/>
          </w:tcPr>
          <w:p w14:paraId="54C094BF" w14:textId="06C9C369" w:rsidR="001D7C6E" w:rsidRPr="00DE67C1" w:rsidRDefault="00050018" w:rsidP="006E749E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91,52</w:t>
            </w:r>
          </w:p>
        </w:tc>
      </w:tr>
      <w:tr w:rsidR="00E6680A" w:rsidRPr="00DE67C1" w14:paraId="28B60900" w14:textId="77777777" w:rsidTr="001D7C6E">
        <w:trPr>
          <w:trHeight w:val="261"/>
        </w:trPr>
        <w:tc>
          <w:tcPr>
            <w:tcW w:w="6238" w:type="dxa"/>
            <w:hideMark/>
          </w:tcPr>
          <w:p w14:paraId="24DD8FFA" w14:textId="4CA23910" w:rsidR="00E6680A" w:rsidRPr="00DE67C1" w:rsidRDefault="00496F31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Tiempo desde 1º visita hasta cirugía</w:t>
            </w:r>
            <w:r w:rsidR="006E749E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(días)</w:t>
            </w:r>
          </w:p>
        </w:tc>
        <w:tc>
          <w:tcPr>
            <w:tcW w:w="4319" w:type="dxa"/>
            <w:hideMark/>
          </w:tcPr>
          <w:p w14:paraId="62E93C2A" w14:textId="0BECAB33" w:rsidR="00E6680A" w:rsidRPr="00DE67C1" w:rsidRDefault="006E749E" w:rsidP="006E749E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 xml:space="preserve">70,65 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(± 35,2)</w:t>
            </w:r>
          </w:p>
        </w:tc>
      </w:tr>
      <w:tr w:rsidR="00E6680A" w:rsidRPr="00DE67C1" w14:paraId="45C969C5" w14:textId="77777777" w:rsidTr="001D7C6E">
        <w:trPr>
          <w:trHeight w:val="266"/>
        </w:trPr>
        <w:tc>
          <w:tcPr>
            <w:tcW w:w="6238" w:type="dxa"/>
            <w:hideMark/>
          </w:tcPr>
          <w:p w14:paraId="6A84147F" w14:textId="28355F65" w:rsidR="00E6680A" w:rsidRPr="00DE67C1" w:rsidRDefault="00496F31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Tiempo desde cirugía hasta revisión </w:t>
            </w:r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(días)</w:t>
            </w:r>
          </w:p>
        </w:tc>
        <w:tc>
          <w:tcPr>
            <w:tcW w:w="4319" w:type="dxa"/>
            <w:hideMark/>
          </w:tcPr>
          <w:p w14:paraId="6813419F" w14:textId="39D35652" w:rsidR="00E6680A" w:rsidRPr="00DE67C1" w:rsidRDefault="006E749E" w:rsidP="006E749E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 xml:space="preserve">31,72 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(± 17,8)</w:t>
            </w:r>
          </w:p>
        </w:tc>
      </w:tr>
      <w:tr w:rsidR="00A46775" w:rsidRPr="00DE67C1" w14:paraId="549121AF" w14:textId="77777777" w:rsidTr="001D7C6E">
        <w:trPr>
          <w:trHeight w:val="266"/>
        </w:trPr>
        <w:tc>
          <w:tcPr>
            <w:tcW w:w="6238" w:type="dxa"/>
          </w:tcPr>
          <w:p w14:paraId="41BE2664" w14:textId="666A7FA9" w:rsidR="00A46775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Localización </w:t>
            </w:r>
            <w:r w:rsidR="001D7C6E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FAV</w:t>
            </w: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(%)</w:t>
            </w:r>
          </w:p>
          <w:p w14:paraId="6D821C2F" w14:textId="56E8A9F2" w:rsidR="00A46775" w:rsidRPr="00DE67C1" w:rsidRDefault="00A46775" w:rsidP="00A46775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rc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izq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/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rc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der/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hc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izq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/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hc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der/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hb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izq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/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hb</w:t>
            </w:r>
            <w:proofErr w:type="spellEnd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der</w:t>
            </w:r>
          </w:p>
        </w:tc>
        <w:tc>
          <w:tcPr>
            <w:tcW w:w="4319" w:type="dxa"/>
          </w:tcPr>
          <w:p w14:paraId="668E5C10" w14:textId="77777777" w:rsidR="00A46775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</w:p>
          <w:p w14:paraId="33801ACE" w14:textId="5CD80D67" w:rsidR="001D7C6E" w:rsidRPr="00DE67C1" w:rsidRDefault="001D7C6E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58,6 / 13,3 / 13,3 / 1,3 / 9,3 / 1,3</w:t>
            </w:r>
          </w:p>
        </w:tc>
      </w:tr>
      <w:tr w:rsidR="00E6680A" w:rsidRPr="00DE67C1" w14:paraId="065454F6" w14:textId="77777777" w:rsidTr="001D7C6E">
        <w:trPr>
          <w:trHeight w:val="266"/>
        </w:trPr>
        <w:tc>
          <w:tcPr>
            <w:tcW w:w="6238" w:type="dxa"/>
          </w:tcPr>
          <w:p w14:paraId="5AEB91D1" w14:textId="6E63128C" w:rsidR="00E6680A" w:rsidRPr="00DE67C1" w:rsidRDefault="00496F31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  <w:lang w:val="es-ES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lastRenderedPageBreak/>
              <w:t xml:space="preserve">FAV </w:t>
            </w:r>
            <w:proofErr w:type="spellStart"/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funcionante</w:t>
            </w:r>
            <w:proofErr w:type="spellEnd"/>
            <w:r w:rsidR="008642E3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(%)</w:t>
            </w:r>
          </w:p>
        </w:tc>
        <w:tc>
          <w:tcPr>
            <w:tcW w:w="4319" w:type="dxa"/>
          </w:tcPr>
          <w:p w14:paraId="1A45E44E" w14:textId="69CB7E04" w:rsidR="00E6680A" w:rsidRPr="00DE67C1" w:rsidRDefault="008642E3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>65,38</w:t>
            </w:r>
          </w:p>
        </w:tc>
      </w:tr>
      <w:tr w:rsidR="00E6680A" w:rsidRPr="00DE67C1" w14:paraId="0396180D" w14:textId="77777777" w:rsidTr="001D7C6E">
        <w:trPr>
          <w:trHeight w:val="264"/>
        </w:trPr>
        <w:tc>
          <w:tcPr>
            <w:tcW w:w="6238" w:type="dxa"/>
            <w:hideMark/>
          </w:tcPr>
          <w:p w14:paraId="21F791CB" w14:textId="74A61ECB" w:rsidR="00E6680A" w:rsidRPr="00DE67C1" w:rsidRDefault="00A46775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  <w:lang w:val="es-ES"/>
              </w:rPr>
              <w:t>Tiempo hasta reparación</w:t>
            </w:r>
            <w:r w:rsidR="00050018" w:rsidRPr="00DE67C1">
              <w:rPr>
                <w:rFonts w:asciiTheme="majorHAnsi" w:hAnsiTheme="majorHAnsi"/>
                <w:sz w:val="20"/>
                <w:szCs w:val="36"/>
                <w:lang w:val="es-ES"/>
              </w:rPr>
              <w:t xml:space="preserve"> (días)</w:t>
            </w:r>
          </w:p>
        </w:tc>
        <w:tc>
          <w:tcPr>
            <w:tcW w:w="4319" w:type="dxa"/>
            <w:hideMark/>
          </w:tcPr>
          <w:p w14:paraId="31A0DEF5" w14:textId="3E2E0A22" w:rsidR="00E6680A" w:rsidRPr="00DE67C1" w:rsidRDefault="006E749E" w:rsidP="00E6680A">
            <w:pPr>
              <w:tabs>
                <w:tab w:val="left" w:pos="493"/>
              </w:tabs>
              <w:jc w:val="both"/>
              <w:rPr>
                <w:rFonts w:asciiTheme="majorHAnsi" w:hAnsiTheme="majorHAnsi"/>
                <w:sz w:val="20"/>
                <w:szCs w:val="36"/>
              </w:rPr>
            </w:pPr>
            <w:r w:rsidRPr="00DE67C1">
              <w:rPr>
                <w:rFonts w:asciiTheme="majorHAnsi" w:hAnsiTheme="majorHAnsi"/>
                <w:sz w:val="20"/>
                <w:szCs w:val="36"/>
              </w:rPr>
              <w:t xml:space="preserve">91,33 </w:t>
            </w:r>
            <w:r w:rsidRPr="00DE67C1">
              <w:rPr>
                <w:rFonts w:asciiTheme="majorHAnsi" w:hAnsiTheme="majorHAnsi"/>
                <w:bCs/>
                <w:sz w:val="20"/>
                <w:szCs w:val="36"/>
                <w:lang w:val="es-ES"/>
              </w:rPr>
              <w:t>(± 28,31)</w:t>
            </w:r>
          </w:p>
        </w:tc>
      </w:tr>
    </w:tbl>
    <w:p w14:paraId="5D6B2C37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738C110B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5F76D5BF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6CF2D8E0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3B76F712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5DF14461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0BD92B16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2556A969" w14:textId="77777777" w:rsidR="00247ECD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p w14:paraId="08ADE063" w14:textId="77777777" w:rsidR="00247ECD" w:rsidRPr="00EF0F3A" w:rsidRDefault="00247ECD" w:rsidP="00EF0F3A">
      <w:pPr>
        <w:tabs>
          <w:tab w:val="left" w:pos="493"/>
        </w:tabs>
        <w:jc w:val="both"/>
        <w:rPr>
          <w:rFonts w:asciiTheme="majorHAnsi" w:hAnsiTheme="majorHAnsi"/>
          <w:szCs w:val="36"/>
        </w:rPr>
      </w:pPr>
    </w:p>
    <w:sectPr w:rsidR="00247ECD" w:rsidRPr="00EF0F3A" w:rsidSect="00333D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1FB4" w14:textId="77777777" w:rsidR="00DE67C1" w:rsidRDefault="00DE67C1" w:rsidP="00DE67C1">
      <w:r>
        <w:separator/>
      </w:r>
    </w:p>
  </w:endnote>
  <w:endnote w:type="continuationSeparator" w:id="0">
    <w:p w14:paraId="2529BF83" w14:textId="77777777" w:rsidR="00DE67C1" w:rsidRDefault="00DE67C1" w:rsidP="00DE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FAE7" w14:textId="77777777" w:rsidR="00DE67C1" w:rsidRDefault="00DE67C1" w:rsidP="00DE67C1">
      <w:r>
        <w:separator/>
      </w:r>
    </w:p>
  </w:footnote>
  <w:footnote w:type="continuationSeparator" w:id="0">
    <w:p w14:paraId="11B0DE62" w14:textId="77777777" w:rsidR="00DE67C1" w:rsidRDefault="00DE67C1" w:rsidP="00DE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308"/>
    <w:multiLevelType w:val="hybridMultilevel"/>
    <w:tmpl w:val="D8724BFA"/>
    <w:lvl w:ilvl="0" w:tplc="3702CC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A"/>
    <w:rsid w:val="00020D26"/>
    <w:rsid w:val="00041426"/>
    <w:rsid w:val="00050018"/>
    <w:rsid w:val="001D7C6E"/>
    <w:rsid w:val="001F21DE"/>
    <w:rsid w:val="00247ECD"/>
    <w:rsid w:val="00333DBE"/>
    <w:rsid w:val="003D42C5"/>
    <w:rsid w:val="00496F31"/>
    <w:rsid w:val="005F30A8"/>
    <w:rsid w:val="006E749E"/>
    <w:rsid w:val="00741C8A"/>
    <w:rsid w:val="008642E3"/>
    <w:rsid w:val="00A46775"/>
    <w:rsid w:val="00AF5176"/>
    <w:rsid w:val="00CE3215"/>
    <w:rsid w:val="00DC32B3"/>
    <w:rsid w:val="00DE67C1"/>
    <w:rsid w:val="00E4099F"/>
    <w:rsid w:val="00E6680A"/>
    <w:rsid w:val="00ED411D"/>
    <w:rsid w:val="00EF0F3A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EF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F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7E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02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7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7C1"/>
  </w:style>
  <w:style w:type="paragraph" w:styleId="Piedepgina">
    <w:name w:val="footer"/>
    <w:basedOn w:val="Normal"/>
    <w:link w:val="PiedepginaCar"/>
    <w:uiPriority w:val="99"/>
    <w:unhideWhenUsed/>
    <w:rsid w:val="00DE67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F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7E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02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7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7C1"/>
  </w:style>
  <w:style w:type="paragraph" w:styleId="Piedepgina">
    <w:name w:val="footer"/>
    <w:basedOn w:val="Normal"/>
    <w:link w:val="PiedepginaCar"/>
    <w:uiPriority w:val="99"/>
    <w:unhideWhenUsed/>
    <w:rsid w:val="00DE67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Vilar</dc:creator>
  <cp:keywords/>
  <dc:description/>
  <cp:lastModifiedBy>Ana Vilar</cp:lastModifiedBy>
  <cp:revision>2</cp:revision>
  <dcterms:created xsi:type="dcterms:W3CDTF">2016-05-04T00:55:00Z</dcterms:created>
  <dcterms:modified xsi:type="dcterms:W3CDTF">2016-05-04T00:55:00Z</dcterms:modified>
</cp:coreProperties>
</file>